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9635C" w:rsidRDefault="00000000">
      <w:pPr>
        <w:spacing w:before="240" w:after="240"/>
      </w:pPr>
      <w:r>
        <w:t>The recommendations intentionally balance:</w:t>
      </w:r>
    </w:p>
    <w:p w14:paraId="00000002" w14:textId="77777777" w:rsidR="0099635C" w:rsidRDefault="00000000">
      <w:pPr>
        <w:numPr>
          <w:ilvl w:val="0"/>
          <w:numId w:val="4"/>
        </w:numPr>
        <w:spacing w:before="240"/>
      </w:pPr>
      <w:r>
        <w:t xml:space="preserve">Alignment to the Children’s Cabinet vision of </w:t>
      </w:r>
      <w:r>
        <w:rPr>
          <w:i/>
          <w:iCs/>
        </w:rPr>
        <w:t>thriving</w:t>
      </w:r>
      <w:r>
        <w:rPr>
          <w:i/>
          <w:iCs/>
        </w:rPr>
        <w:br/>
      </w:r>
    </w:p>
    <w:p w14:paraId="00000003" w14:textId="77777777" w:rsidR="0099635C" w:rsidRDefault="00000000">
      <w:pPr>
        <w:numPr>
          <w:ilvl w:val="0"/>
          <w:numId w:val="4"/>
        </w:numPr>
      </w:pPr>
      <w:r>
        <w:t>Policy relevance and actionability</w:t>
      </w:r>
      <w:r>
        <w:br/>
      </w:r>
    </w:p>
    <w:p w14:paraId="00000004" w14:textId="77777777" w:rsidR="0099635C" w:rsidRDefault="00000000">
      <w:pPr>
        <w:numPr>
          <w:ilvl w:val="0"/>
          <w:numId w:val="4"/>
        </w:numPr>
      </w:pPr>
      <w:r>
        <w:t>Data availability, quality, and nimbleness</w:t>
      </w:r>
      <w:r>
        <w:br/>
      </w:r>
    </w:p>
    <w:p w14:paraId="00000005" w14:textId="77777777" w:rsidR="0099635C" w:rsidRDefault="00000000">
      <w:pPr>
        <w:numPr>
          <w:ilvl w:val="0"/>
          <w:numId w:val="4"/>
        </w:numPr>
        <w:spacing w:after="240"/>
      </w:pPr>
      <w:r>
        <w:t>Strength-based framing across the 0–21 continuum</w:t>
      </w:r>
      <w:r>
        <w:br/>
      </w:r>
    </w:p>
    <w:p w14:paraId="00000006" w14:textId="77777777" w:rsidR="0099635C" w:rsidRDefault="00000000">
      <w:r>
        <w:pict w14:anchorId="182258CE">
          <v:rect id="_x0000_i1025" style="width:0;height:1.5pt" o:hralign="center" o:hrstd="t" o:hr="t" fillcolor="#a0a0a0" stroked="f"/>
        </w:pict>
      </w:r>
    </w:p>
    <w:p w14:paraId="00000007" w14:textId="77777777" w:rsidR="0099635C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0" w:name="_htissjmef55v" w:colFirst="0" w:colLast="0"/>
      <w:bookmarkEnd w:id="0"/>
      <w:r>
        <w:rPr>
          <w:b/>
          <w:bCs/>
          <w:sz w:val="34"/>
          <w:szCs w:val="34"/>
        </w:rPr>
        <w:t>High-Level Summary of Stakeholder Feedback</w:t>
      </w:r>
    </w:p>
    <w:p w14:paraId="00000008" w14:textId="77777777" w:rsidR="0099635C" w:rsidRDefault="00000000">
      <w:pPr>
        <w:spacing w:before="240" w:after="240"/>
      </w:pPr>
      <w:r>
        <w:t>Strong Consensus</w:t>
      </w:r>
    </w:p>
    <w:p w14:paraId="00000009" w14:textId="77777777" w:rsidR="0099635C" w:rsidRDefault="00000000">
      <w:pPr>
        <w:numPr>
          <w:ilvl w:val="0"/>
          <w:numId w:val="7"/>
        </w:numPr>
        <w:spacing w:before="240"/>
      </w:pPr>
      <w:r>
        <w:t>The five-domain framework and ages 0–21 lens are appropriate and well understood.</w:t>
      </w:r>
      <w:r>
        <w:br/>
      </w:r>
    </w:p>
    <w:p w14:paraId="0000000A" w14:textId="77777777" w:rsidR="0099635C" w:rsidRDefault="00000000">
      <w:pPr>
        <w:numPr>
          <w:ilvl w:val="0"/>
          <w:numId w:val="7"/>
        </w:numPr>
      </w:pPr>
      <w:r>
        <w:t>The scorecard should inform policy, funding, accountability, and public transparency.</w:t>
      </w:r>
      <w:r>
        <w:br/>
      </w:r>
    </w:p>
    <w:p w14:paraId="0000000B" w14:textId="77777777" w:rsidR="0099635C" w:rsidRDefault="00000000">
      <w:pPr>
        <w:numPr>
          <w:ilvl w:val="0"/>
          <w:numId w:val="7"/>
        </w:numPr>
      </w:pPr>
      <w:r>
        <w:t>State-level data is an appropriate starting point, with transparency about limitations.</w:t>
      </w:r>
      <w:r>
        <w:br/>
      </w:r>
    </w:p>
    <w:p w14:paraId="0000000C" w14:textId="77777777" w:rsidR="0099635C" w:rsidRDefault="00000000">
      <w:pPr>
        <w:numPr>
          <w:ilvl w:val="0"/>
          <w:numId w:val="7"/>
        </w:numPr>
        <w:spacing w:after="240"/>
      </w:pPr>
      <w:r>
        <w:t>Indicators should emphasize early intervention, belonging/connectedness, and prevention, not just crisis or deficit metrics.</w:t>
      </w:r>
      <w:r>
        <w:br/>
      </w:r>
    </w:p>
    <w:p w14:paraId="0000000D" w14:textId="77777777" w:rsidR="0099635C" w:rsidRDefault="00000000">
      <w:pPr>
        <w:spacing w:before="240" w:after="240"/>
      </w:pPr>
      <w:r>
        <w:t>Key Tensions Identified</w:t>
      </w:r>
    </w:p>
    <w:p w14:paraId="0000000E" w14:textId="77777777" w:rsidR="0099635C" w:rsidRDefault="00000000">
      <w:pPr>
        <w:numPr>
          <w:ilvl w:val="0"/>
          <w:numId w:val="1"/>
        </w:numPr>
        <w:spacing w:before="240"/>
      </w:pPr>
      <w:r>
        <w:t>Some traditional indicators (postsecondary enrollment, unemployment rate, infant mortality) are too narrow or blunt when used alone.</w:t>
      </w:r>
      <w:r>
        <w:br/>
      </w:r>
    </w:p>
    <w:p w14:paraId="0000000F" w14:textId="77777777" w:rsidR="0099635C" w:rsidRDefault="00000000">
      <w:pPr>
        <w:numPr>
          <w:ilvl w:val="0"/>
          <w:numId w:val="1"/>
        </w:numPr>
      </w:pPr>
      <w:r>
        <w:t>Data standardization and interagency silos limit the ability to fully represent child well-being.</w:t>
      </w:r>
      <w:r>
        <w:br/>
      </w:r>
    </w:p>
    <w:p w14:paraId="00000010" w14:textId="77777777" w:rsidR="0099635C" w:rsidRDefault="00000000">
      <w:pPr>
        <w:numPr>
          <w:ilvl w:val="0"/>
          <w:numId w:val="1"/>
        </w:numPr>
        <w:spacing w:after="240"/>
      </w:pPr>
      <w:r>
        <w:t>Stakeholders want outcomes that reflect thriving, not just compliance or participation.</w:t>
      </w:r>
      <w:r>
        <w:br/>
      </w:r>
    </w:p>
    <w:p w14:paraId="00000011" w14:textId="77777777" w:rsidR="0099635C" w:rsidRDefault="00000000">
      <w:pPr>
        <w:spacing w:before="240" w:after="240"/>
        <w:rPr>
          <w:b/>
          <w:bCs/>
        </w:rPr>
      </w:pPr>
      <w:r>
        <w:rPr>
          <w:b/>
          <w:bCs/>
        </w:rPr>
        <w:t>Cross-Cutting Themes</w:t>
      </w:r>
    </w:p>
    <w:p w14:paraId="00000012" w14:textId="77777777" w:rsidR="0099635C" w:rsidRDefault="00000000">
      <w:pPr>
        <w:numPr>
          <w:ilvl w:val="0"/>
          <w:numId w:val="9"/>
        </w:numPr>
        <w:spacing w:before="240"/>
      </w:pPr>
      <w:r>
        <w:t>Early literacy and early intervention matter most.</w:t>
      </w:r>
      <w:r>
        <w:br/>
      </w:r>
    </w:p>
    <w:p w14:paraId="00000013" w14:textId="77777777" w:rsidR="0099635C" w:rsidRDefault="00000000">
      <w:pPr>
        <w:numPr>
          <w:ilvl w:val="0"/>
          <w:numId w:val="9"/>
        </w:numPr>
      </w:pPr>
      <w:r>
        <w:lastRenderedPageBreak/>
        <w:t>Chronic absenteeism and disengagement are symptoms of deeper family and community challenges.</w:t>
      </w:r>
      <w:r>
        <w:br/>
      </w:r>
    </w:p>
    <w:p w14:paraId="00000014" w14:textId="77777777" w:rsidR="0099635C" w:rsidRDefault="00000000">
      <w:pPr>
        <w:numPr>
          <w:ilvl w:val="0"/>
          <w:numId w:val="9"/>
        </w:numPr>
      </w:pPr>
      <w:r>
        <w:t>Mental health access, not just prevalence, is critical.</w:t>
      </w:r>
      <w:r>
        <w:br/>
      </w:r>
    </w:p>
    <w:p w14:paraId="00000015" w14:textId="77777777" w:rsidR="0099635C" w:rsidRDefault="00000000">
      <w:pPr>
        <w:numPr>
          <w:ilvl w:val="0"/>
          <w:numId w:val="9"/>
        </w:numPr>
      </w:pPr>
      <w:r>
        <w:t>Children thrive when adults thrive (two-generation approach).</w:t>
      </w:r>
      <w:r>
        <w:br/>
      </w:r>
    </w:p>
    <w:p w14:paraId="00000016" w14:textId="77777777" w:rsidR="0099635C" w:rsidRDefault="00000000">
      <w:pPr>
        <w:numPr>
          <w:ilvl w:val="0"/>
          <w:numId w:val="9"/>
        </w:numPr>
        <w:spacing w:after="240"/>
      </w:pPr>
      <w:r>
        <w:t>Belonging, caring adults, and engagement are central to resilience.</w:t>
      </w:r>
      <w:r>
        <w:br/>
      </w:r>
    </w:p>
    <w:p w14:paraId="00000017" w14:textId="77777777" w:rsidR="0099635C" w:rsidRDefault="00000000">
      <w:r>
        <w:pict w14:anchorId="7A11BEEE">
          <v:rect id="_x0000_i1026" style="width:0;height:1.5pt" o:hralign="center" o:hrstd="t" o:hr="t" fillcolor="#a0a0a0" stroked="f"/>
        </w:pict>
      </w:r>
    </w:p>
    <w:p w14:paraId="00000018" w14:textId="77777777" w:rsidR="0099635C" w:rsidRDefault="00000000">
      <w:pPr>
        <w:pStyle w:val="Heading1"/>
        <w:keepNext w:val="0"/>
        <w:keepLines w:val="0"/>
        <w:spacing w:before="480"/>
        <w:rPr>
          <w:b/>
          <w:bCs/>
          <w:sz w:val="46"/>
          <w:szCs w:val="46"/>
        </w:rPr>
      </w:pPr>
      <w:bookmarkStart w:id="1" w:name="_ykqymc6sxf92" w:colFirst="0" w:colLast="0"/>
      <w:bookmarkEnd w:id="1"/>
      <w:r>
        <w:rPr>
          <w:b/>
          <w:bCs/>
          <w:sz w:val="46"/>
          <w:szCs w:val="46"/>
        </w:rPr>
        <w:t>Recommended Priority Indicators by Domain</w:t>
      </w:r>
    </w:p>
    <w:p w14:paraId="00000019" w14:textId="77777777" w:rsidR="0099635C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" w:name="_u8dzh88pji85" w:colFirst="0" w:colLast="0"/>
      <w:bookmarkEnd w:id="2"/>
      <w:r>
        <w:rPr>
          <w:b/>
          <w:bCs/>
          <w:sz w:val="34"/>
          <w:szCs w:val="34"/>
        </w:rPr>
        <w:t>1. Education</w:t>
      </w:r>
    </w:p>
    <w:p w14:paraId="0000001A" w14:textId="77777777" w:rsidR="0099635C" w:rsidRDefault="00000000">
      <w:pPr>
        <w:pStyle w:val="Heading3"/>
        <w:keepNext w:val="0"/>
        <w:keepLines w:val="0"/>
        <w:spacing w:before="280"/>
        <w:rPr>
          <w:color w:val="000000"/>
          <w:sz w:val="26"/>
          <w:szCs w:val="26"/>
        </w:rPr>
      </w:pPr>
      <w:bookmarkStart w:id="3" w:name="_xje0hdlh0gpg" w:colFirst="0" w:colLast="0"/>
      <w:bookmarkEnd w:id="3"/>
      <w:r>
        <w:rPr>
          <w:color w:val="000000"/>
          <w:sz w:val="26"/>
          <w:szCs w:val="26"/>
        </w:rPr>
        <w:t>Priority Indicators (Top 3–5)</w:t>
      </w:r>
    </w:p>
    <w:p w14:paraId="0000001B" w14:textId="77777777" w:rsidR="0099635C" w:rsidRDefault="00000000">
      <w:pPr>
        <w:numPr>
          <w:ilvl w:val="0"/>
          <w:numId w:val="3"/>
        </w:numPr>
        <w:spacing w:before="240"/>
      </w:pPr>
      <w:r>
        <w:t>Kindergarten Entry Developmental Readiness</w:t>
      </w:r>
      <w:r>
        <w:br/>
        <w:t xml:space="preserve"> </w:t>
      </w:r>
      <w:r>
        <w:rPr>
          <w:i/>
          <w:iCs/>
        </w:rPr>
        <w:t>Reframed beyond academics to include social-emotional and motor skills</w:t>
      </w:r>
      <w:r>
        <w:rPr>
          <w:i/>
          <w:iCs/>
        </w:rPr>
        <w:br/>
      </w:r>
    </w:p>
    <w:p w14:paraId="0000001C" w14:textId="77777777" w:rsidR="0099635C" w:rsidRDefault="00000000">
      <w:pPr>
        <w:numPr>
          <w:ilvl w:val="1"/>
          <w:numId w:val="3"/>
        </w:numPr>
      </w:pPr>
      <w:r>
        <w:t>Strongest early predictor of later success</w:t>
      </w:r>
      <w:r>
        <w:br/>
      </w:r>
    </w:p>
    <w:p w14:paraId="0000001D" w14:textId="77777777" w:rsidR="0099635C" w:rsidRDefault="00000000">
      <w:pPr>
        <w:numPr>
          <w:ilvl w:val="1"/>
          <w:numId w:val="3"/>
        </w:numPr>
      </w:pPr>
      <w:r>
        <w:t>High stakeholder emphasis, especially rural gaps</w:t>
      </w:r>
      <w:r>
        <w:br/>
      </w:r>
    </w:p>
    <w:p w14:paraId="0000001E" w14:textId="77777777" w:rsidR="0099635C" w:rsidRDefault="00000000">
      <w:pPr>
        <w:numPr>
          <w:ilvl w:val="0"/>
          <w:numId w:val="3"/>
        </w:numPr>
      </w:pPr>
      <w:r>
        <w:t>3rd Grade Literacy / Reading Proficiency</w:t>
      </w:r>
      <w:r>
        <w:br/>
      </w:r>
    </w:p>
    <w:p w14:paraId="0000001F" w14:textId="77777777" w:rsidR="0099635C" w:rsidRDefault="00000000">
      <w:pPr>
        <w:numPr>
          <w:ilvl w:val="1"/>
          <w:numId w:val="3"/>
        </w:numPr>
      </w:pPr>
      <w:r>
        <w:t>Strong legislative and practitioner support</w:t>
      </w:r>
      <w:r>
        <w:br/>
      </w:r>
    </w:p>
    <w:p w14:paraId="00000020" w14:textId="77777777" w:rsidR="0099635C" w:rsidRDefault="00000000">
      <w:pPr>
        <w:numPr>
          <w:ilvl w:val="1"/>
          <w:numId w:val="3"/>
        </w:numPr>
      </w:pPr>
      <w:r>
        <w:t>Requires clear definition and business rules due to recent assessment changes</w:t>
      </w:r>
      <w:r>
        <w:br/>
      </w:r>
    </w:p>
    <w:p w14:paraId="00000021" w14:textId="77777777" w:rsidR="0099635C" w:rsidRDefault="00000000">
      <w:pPr>
        <w:numPr>
          <w:ilvl w:val="0"/>
          <w:numId w:val="3"/>
        </w:numPr>
      </w:pPr>
      <w:r>
        <w:t>Choice-Ready Graduates (Overall)</w:t>
      </w:r>
      <w:r>
        <w:br/>
      </w:r>
    </w:p>
    <w:p w14:paraId="00000022" w14:textId="77777777" w:rsidR="0099635C" w:rsidRDefault="00000000">
      <w:pPr>
        <w:numPr>
          <w:ilvl w:val="1"/>
          <w:numId w:val="3"/>
        </w:numPr>
      </w:pPr>
      <w:r>
        <w:t>Retained as a policy anchor indicator</w:t>
      </w:r>
      <w:r>
        <w:br/>
      </w:r>
    </w:p>
    <w:p w14:paraId="00000023" w14:textId="77777777" w:rsidR="0099635C" w:rsidRDefault="00000000">
      <w:pPr>
        <w:numPr>
          <w:ilvl w:val="1"/>
          <w:numId w:val="3"/>
        </w:numPr>
      </w:pPr>
      <w:r>
        <w:t>Explicitly framed as readiness for multiple post-high school pathways</w:t>
      </w:r>
      <w:r>
        <w:br/>
      </w:r>
    </w:p>
    <w:p w14:paraId="00000024" w14:textId="77777777" w:rsidR="0099635C" w:rsidRDefault="00000000">
      <w:pPr>
        <w:numPr>
          <w:ilvl w:val="0"/>
          <w:numId w:val="3"/>
        </w:numPr>
      </w:pPr>
      <w:r>
        <w:t xml:space="preserve">Post–High School Outcomes by Pathway </w:t>
      </w:r>
      <w:r>
        <w:rPr>
          <w:i/>
          <w:iCs/>
        </w:rPr>
        <w:t>(composite)</w:t>
      </w:r>
      <w:r>
        <w:rPr>
          <w:i/>
          <w:iCs/>
        </w:rPr>
        <w:br/>
      </w:r>
    </w:p>
    <w:p w14:paraId="00000025" w14:textId="77777777" w:rsidR="0099635C" w:rsidRDefault="00000000">
      <w:pPr>
        <w:numPr>
          <w:ilvl w:val="1"/>
          <w:numId w:val="3"/>
        </w:numPr>
      </w:pPr>
      <w:r>
        <w:lastRenderedPageBreak/>
        <w:t>Postsecondary education</w:t>
      </w:r>
      <w:r>
        <w:br/>
      </w:r>
    </w:p>
    <w:p w14:paraId="00000026" w14:textId="77777777" w:rsidR="0099635C" w:rsidRDefault="00000000">
      <w:pPr>
        <w:numPr>
          <w:ilvl w:val="1"/>
          <w:numId w:val="3"/>
        </w:numPr>
      </w:pPr>
      <w:r>
        <w:t>Workforce/employment</w:t>
      </w:r>
      <w:r>
        <w:br/>
      </w:r>
    </w:p>
    <w:p w14:paraId="00000027" w14:textId="77777777" w:rsidR="0099635C" w:rsidRDefault="00000000">
      <w:pPr>
        <w:numPr>
          <w:ilvl w:val="1"/>
          <w:numId w:val="3"/>
        </w:numPr>
      </w:pPr>
      <w:r>
        <w:t>Military service</w:t>
      </w:r>
      <w:r>
        <w:br/>
      </w:r>
    </w:p>
    <w:p w14:paraId="00000028" w14:textId="77777777" w:rsidR="0099635C" w:rsidRDefault="00000000">
      <w:pPr>
        <w:numPr>
          <w:ilvl w:val="1"/>
          <w:numId w:val="3"/>
        </w:numPr>
        <w:spacing w:after="240"/>
      </w:pPr>
      <w:r>
        <w:t>Credentials/apprenticeships</w:t>
      </w:r>
      <w:r>
        <w:br/>
      </w:r>
    </w:p>
    <w:p w14:paraId="00000029" w14:textId="77777777" w:rsidR="0099635C" w:rsidRDefault="00000000">
      <w:pPr>
        <w:pStyle w:val="Heading3"/>
        <w:keepNext w:val="0"/>
        <w:keepLines w:val="0"/>
        <w:spacing w:before="280"/>
        <w:rPr>
          <w:color w:val="000000"/>
          <w:sz w:val="26"/>
          <w:szCs w:val="26"/>
        </w:rPr>
      </w:pPr>
      <w:bookmarkStart w:id="4" w:name="_28cnlu5ufqik" w:colFirst="0" w:colLast="0"/>
      <w:bookmarkEnd w:id="4"/>
      <w:r>
        <w:rPr>
          <w:color w:val="000000"/>
          <w:sz w:val="26"/>
          <w:szCs w:val="26"/>
        </w:rPr>
        <w:t>Supplemental / Secondary Indicators</w:t>
      </w:r>
    </w:p>
    <w:p w14:paraId="0000002A" w14:textId="77777777" w:rsidR="0099635C" w:rsidRDefault="00000000">
      <w:pPr>
        <w:numPr>
          <w:ilvl w:val="0"/>
          <w:numId w:val="14"/>
        </w:numPr>
        <w:spacing w:before="240"/>
      </w:pPr>
      <w:r>
        <w:t>Student engagement (survey-based)</w:t>
      </w:r>
      <w:r>
        <w:br/>
      </w:r>
    </w:p>
    <w:p w14:paraId="0000002B" w14:textId="77777777" w:rsidR="0099635C" w:rsidRDefault="00000000">
      <w:pPr>
        <w:numPr>
          <w:ilvl w:val="0"/>
          <w:numId w:val="14"/>
        </w:numPr>
      </w:pPr>
      <w:r>
        <w:t>Student mobility / transiency</w:t>
      </w:r>
      <w:r>
        <w:br/>
      </w:r>
    </w:p>
    <w:p w14:paraId="0000002C" w14:textId="77777777" w:rsidR="0099635C" w:rsidRDefault="00000000">
      <w:pPr>
        <w:numPr>
          <w:ilvl w:val="0"/>
          <w:numId w:val="14"/>
        </w:numPr>
      </w:pPr>
      <w:r>
        <w:t>Students living with someone other than a parent</w:t>
      </w:r>
      <w:r>
        <w:br/>
      </w:r>
    </w:p>
    <w:p w14:paraId="0000002D" w14:textId="77777777" w:rsidR="0099635C" w:rsidRDefault="00000000">
      <w:pPr>
        <w:numPr>
          <w:ilvl w:val="0"/>
          <w:numId w:val="14"/>
        </w:numPr>
      </w:pPr>
      <w:r>
        <w:t>Dropout rate (contextual)</w:t>
      </w:r>
      <w:r>
        <w:br/>
      </w:r>
    </w:p>
    <w:p w14:paraId="0000002E" w14:textId="77777777" w:rsidR="0099635C" w:rsidRDefault="00000000">
      <w:pPr>
        <w:numPr>
          <w:ilvl w:val="0"/>
          <w:numId w:val="14"/>
        </w:numPr>
        <w:spacing w:after="240"/>
      </w:pPr>
      <w:r>
        <w:t>Extracurricular / out-of-school participation (broadened definition)</w:t>
      </w:r>
      <w:r>
        <w:br/>
      </w:r>
    </w:p>
    <w:p w14:paraId="0000002F" w14:textId="77777777" w:rsidR="0099635C" w:rsidRDefault="00000000">
      <w:r>
        <w:pict w14:anchorId="0473DD79">
          <v:rect id="_x0000_i1027" style="width:0;height:1.5pt" o:hralign="center" o:hrstd="t" o:hr="t" fillcolor="#a0a0a0" stroked="f"/>
        </w:pict>
      </w:r>
    </w:p>
    <w:p w14:paraId="00000030" w14:textId="77777777" w:rsidR="0099635C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5" w:name="_vmsqeteo3a9c" w:colFirst="0" w:colLast="0"/>
      <w:bookmarkEnd w:id="5"/>
      <w:r>
        <w:rPr>
          <w:b/>
          <w:bCs/>
          <w:sz w:val="34"/>
          <w:szCs w:val="34"/>
        </w:rPr>
        <w:t>2. Economic Stability</w:t>
      </w:r>
    </w:p>
    <w:p w14:paraId="00000031" w14:textId="77777777" w:rsidR="0099635C" w:rsidRDefault="00000000">
      <w:pPr>
        <w:pStyle w:val="Heading3"/>
        <w:keepNext w:val="0"/>
        <w:keepLines w:val="0"/>
        <w:spacing w:before="280"/>
        <w:rPr>
          <w:color w:val="000000"/>
          <w:sz w:val="26"/>
          <w:szCs w:val="26"/>
        </w:rPr>
      </w:pPr>
      <w:bookmarkStart w:id="6" w:name="_y6iozb26zgot" w:colFirst="0" w:colLast="0"/>
      <w:bookmarkEnd w:id="6"/>
      <w:r>
        <w:rPr>
          <w:color w:val="000000"/>
          <w:sz w:val="26"/>
          <w:szCs w:val="26"/>
        </w:rPr>
        <w:t>Priority Indicators (Top 3–5)</w:t>
      </w:r>
    </w:p>
    <w:p w14:paraId="00000032" w14:textId="77777777" w:rsidR="0099635C" w:rsidRDefault="00000000">
      <w:pPr>
        <w:numPr>
          <w:ilvl w:val="0"/>
          <w:numId w:val="2"/>
        </w:numPr>
        <w:spacing w:before="240"/>
      </w:pPr>
      <w:r>
        <w:t>Children Living in Poverty (0–17)</w:t>
      </w:r>
      <w:r>
        <w:br/>
      </w:r>
    </w:p>
    <w:p w14:paraId="00000033" w14:textId="77777777" w:rsidR="0099635C" w:rsidRDefault="00000000">
      <w:pPr>
        <w:numPr>
          <w:ilvl w:val="1"/>
          <w:numId w:val="2"/>
        </w:numPr>
      </w:pPr>
      <w:r>
        <w:t>Widely supported as the most meaningful economic indicator</w:t>
      </w:r>
      <w:r>
        <w:br/>
      </w:r>
    </w:p>
    <w:p w14:paraId="00000034" w14:textId="77777777" w:rsidR="0099635C" w:rsidRDefault="00000000">
      <w:pPr>
        <w:numPr>
          <w:ilvl w:val="0"/>
          <w:numId w:val="2"/>
        </w:numPr>
      </w:pPr>
      <w:r>
        <w:t>Homeless Youth</w:t>
      </w:r>
      <w:r>
        <w:br/>
      </w:r>
    </w:p>
    <w:p w14:paraId="00000035" w14:textId="77777777" w:rsidR="0099635C" w:rsidRDefault="00000000">
      <w:pPr>
        <w:numPr>
          <w:ilvl w:val="1"/>
          <w:numId w:val="2"/>
        </w:numPr>
      </w:pPr>
      <w:r>
        <w:t>Retained with clearer business rules and reporting caveats</w:t>
      </w:r>
      <w:r>
        <w:br/>
      </w:r>
    </w:p>
    <w:p w14:paraId="00000036" w14:textId="77777777" w:rsidR="0099635C" w:rsidRDefault="00000000">
      <w:pPr>
        <w:numPr>
          <w:ilvl w:val="0"/>
          <w:numId w:val="2"/>
        </w:numPr>
      </w:pPr>
      <w:r>
        <w:t>Opportunity Youth (Disconnected Youth)</w:t>
      </w:r>
      <w:r>
        <w:br/>
      </w:r>
    </w:p>
    <w:p w14:paraId="00000037" w14:textId="77777777" w:rsidR="0099635C" w:rsidRDefault="00000000">
      <w:pPr>
        <w:numPr>
          <w:ilvl w:val="1"/>
          <w:numId w:val="2"/>
        </w:numPr>
      </w:pPr>
      <w:r>
        <w:t>High interest across sectors</w:t>
      </w:r>
      <w:r>
        <w:br/>
      </w:r>
    </w:p>
    <w:p w14:paraId="00000038" w14:textId="77777777" w:rsidR="0099635C" w:rsidRDefault="00000000">
      <w:pPr>
        <w:numPr>
          <w:ilvl w:val="1"/>
          <w:numId w:val="2"/>
        </w:numPr>
      </w:pPr>
      <w:r>
        <w:t>Recognized data gap but important to elevate</w:t>
      </w:r>
      <w:r>
        <w:br/>
      </w:r>
    </w:p>
    <w:p w14:paraId="00000039" w14:textId="77777777" w:rsidR="0099635C" w:rsidRDefault="00000000">
      <w:pPr>
        <w:numPr>
          <w:ilvl w:val="0"/>
          <w:numId w:val="2"/>
        </w:numPr>
      </w:pPr>
      <w:r>
        <w:t>Family Economic Stability</w:t>
      </w:r>
      <w:r>
        <w:br/>
      </w:r>
    </w:p>
    <w:p w14:paraId="0000003A" w14:textId="77777777" w:rsidR="0099635C" w:rsidRDefault="00000000">
      <w:pPr>
        <w:numPr>
          <w:ilvl w:val="1"/>
          <w:numId w:val="2"/>
        </w:numPr>
        <w:spacing w:after="240"/>
      </w:pPr>
      <w:r>
        <w:lastRenderedPageBreak/>
        <w:t>Composite or proxy indicator acknowledging household-level conditions</w:t>
      </w:r>
      <w:r>
        <w:br/>
      </w:r>
    </w:p>
    <w:p w14:paraId="0000003B" w14:textId="77777777" w:rsidR="0099635C" w:rsidRDefault="00000000">
      <w:pPr>
        <w:pStyle w:val="Heading3"/>
        <w:keepNext w:val="0"/>
        <w:keepLines w:val="0"/>
        <w:spacing w:before="280"/>
        <w:rPr>
          <w:color w:val="000000"/>
          <w:sz w:val="26"/>
          <w:szCs w:val="26"/>
        </w:rPr>
      </w:pPr>
      <w:bookmarkStart w:id="7" w:name="_4y0uekn73yxf" w:colFirst="0" w:colLast="0"/>
      <w:bookmarkEnd w:id="7"/>
      <w:r>
        <w:rPr>
          <w:color w:val="000000"/>
          <w:sz w:val="26"/>
          <w:szCs w:val="26"/>
        </w:rPr>
        <w:t>Supplemental / Secondary Indicators</w:t>
      </w:r>
    </w:p>
    <w:p w14:paraId="0000003C" w14:textId="77777777" w:rsidR="0099635C" w:rsidRDefault="00000000">
      <w:pPr>
        <w:numPr>
          <w:ilvl w:val="0"/>
          <w:numId w:val="12"/>
        </w:numPr>
        <w:spacing w:before="240"/>
      </w:pPr>
      <w:r>
        <w:t>Parent unemployment (with context about single-earner households)</w:t>
      </w:r>
      <w:r>
        <w:br/>
      </w:r>
    </w:p>
    <w:p w14:paraId="0000003D" w14:textId="77777777" w:rsidR="0099635C" w:rsidRDefault="00000000">
      <w:pPr>
        <w:numPr>
          <w:ilvl w:val="0"/>
          <w:numId w:val="12"/>
        </w:numPr>
      </w:pPr>
      <w:r>
        <w:t>Food insecurity (e.g., ALICE framework)</w:t>
      </w:r>
      <w:r>
        <w:br/>
      </w:r>
    </w:p>
    <w:p w14:paraId="0000003E" w14:textId="77777777" w:rsidR="0099635C" w:rsidRDefault="00000000">
      <w:pPr>
        <w:numPr>
          <w:ilvl w:val="0"/>
          <w:numId w:val="12"/>
        </w:numPr>
      </w:pPr>
      <w:r>
        <w:t>Foster care placement counts</w:t>
      </w:r>
      <w:r>
        <w:br/>
      </w:r>
    </w:p>
    <w:p w14:paraId="0000003F" w14:textId="77777777" w:rsidR="0099635C" w:rsidRDefault="00000000">
      <w:pPr>
        <w:numPr>
          <w:ilvl w:val="0"/>
          <w:numId w:val="12"/>
        </w:numPr>
        <w:spacing w:after="240"/>
      </w:pPr>
      <w:r>
        <w:t>CPS reports (with strong data caveats)</w:t>
      </w:r>
      <w:r>
        <w:br/>
      </w:r>
    </w:p>
    <w:p w14:paraId="00000040" w14:textId="77777777" w:rsidR="0099635C" w:rsidRDefault="00000000">
      <w:r>
        <w:pict w14:anchorId="07D0BF40">
          <v:rect id="_x0000_i1028" style="width:0;height:1.5pt" o:hralign="center" o:hrstd="t" o:hr="t" fillcolor="#a0a0a0" stroked="f"/>
        </w:pict>
      </w:r>
    </w:p>
    <w:p w14:paraId="00000041" w14:textId="77777777" w:rsidR="0099635C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8" w:name="_8fp2iay7eqar" w:colFirst="0" w:colLast="0"/>
      <w:bookmarkEnd w:id="8"/>
      <w:r>
        <w:rPr>
          <w:b/>
          <w:bCs/>
          <w:sz w:val="34"/>
          <w:szCs w:val="34"/>
        </w:rPr>
        <w:t>3. Health &amp; Safety</w:t>
      </w:r>
    </w:p>
    <w:p w14:paraId="00000042" w14:textId="77777777" w:rsidR="0099635C" w:rsidRDefault="00000000">
      <w:pPr>
        <w:pStyle w:val="Heading3"/>
        <w:keepNext w:val="0"/>
        <w:keepLines w:val="0"/>
        <w:spacing w:before="280"/>
        <w:rPr>
          <w:color w:val="000000"/>
          <w:sz w:val="26"/>
          <w:szCs w:val="26"/>
        </w:rPr>
      </w:pPr>
      <w:bookmarkStart w:id="9" w:name="_y50n5uqmv8qc" w:colFirst="0" w:colLast="0"/>
      <w:bookmarkEnd w:id="9"/>
      <w:r>
        <w:rPr>
          <w:color w:val="000000"/>
          <w:sz w:val="26"/>
          <w:szCs w:val="26"/>
        </w:rPr>
        <w:t>Priority Indicators (Top 3–5)</w:t>
      </w:r>
    </w:p>
    <w:p w14:paraId="00000043" w14:textId="77777777" w:rsidR="0099635C" w:rsidRDefault="00000000">
      <w:pPr>
        <w:numPr>
          <w:ilvl w:val="0"/>
          <w:numId w:val="5"/>
        </w:numPr>
        <w:spacing w:before="240"/>
      </w:pPr>
      <w:r>
        <w:t>Access to School-Based Behavioral Health Services</w:t>
      </w:r>
      <w:r>
        <w:br/>
      </w:r>
    </w:p>
    <w:p w14:paraId="00000044" w14:textId="77777777" w:rsidR="0099635C" w:rsidRDefault="00000000">
      <w:pPr>
        <w:numPr>
          <w:ilvl w:val="1"/>
          <w:numId w:val="5"/>
        </w:numPr>
      </w:pPr>
      <w:r>
        <w:t>Strong alignment with prevention and access</w:t>
      </w:r>
      <w:r>
        <w:br/>
      </w:r>
    </w:p>
    <w:p w14:paraId="00000045" w14:textId="77777777" w:rsidR="0099635C" w:rsidRDefault="00000000">
      <w:pPr>
        <w:numPr>
          <w:ilvl w:val="1"/>
          <w:numId w:val="5"/>
        </w:numPr>
      </w:pPr>
      <w:r>
        <w:t>More actionable than prevalence alone</w:t>
      </w:r>
      <w:r>
        <w:br/>
      </w:r>
    </w:p>
    <w:p w14:paraId="00000046" w14:textId="77777777" w:rsidR="0099635C" w:rsidRDefault="00000000">
      <w:pPr>
        <w:numPr>
          <w:ilvl w:val="0"/>
          <w:numId w:val="5"/>
        </w:numPr>
      </w:pPr>
      <w:r>
        <w:t>Youth Mental Health (Need + Access)</w:t>
      </w:r>
      <w:r>
        <w:br/>
      </w:r>
    </w:p>
    <w:p w14:paraId="00000047" w14:textId="77777777" w:rsidR="0099635C" w:rsidRDefault="00000000">
      <w:pPr>
        <w:numPr>
          <w:ilvl w:val="1"/>
          <w:numId w:val="5"/>
        </w:numPr>
      </w:pPr>
      <w:r>
        <w:t>Combined framing:</w:t>
      </w:r>
      <w:r>
        <w:br/>
      </w:r>
    </w:p>
    <w:p w14:paraId="00000048" w14:textId="77777777" w:rsidR="0099635C" w:rsidRDefault="00000000">
      <w:pPr>
        <w:numPr>
          <w:ilvl w:val="2"/>
          <w:numId w:val="5"/>
        </w:numPr>
      </w:pPr>
      <w:r>
        <w:t>Mental health needs (YRBS or similar)</w:t>
      </w:r>
      <w:r>
        <w:br/>
      </w:r>
    </w:p>
    <w:p w14:paraId="00000049" w14:textId="77777777" w:rsidR="0099635C" w:rsidRDefault="00000000">
      <w:pPr>
        <w:numPr>
          <w:ilvl w:val="2"/>
          <w:numId w:val="5"/>
        </w:numPr>
      </w:pPr>
      <w:r>
        <w:t>Access to treatment/supports</w:t>
      </w:r>
      <w:r>
        <w:br/>
      </w:r>
    </w:p>
    <w:p w14:paraId="0000004A" w14:textId="77777777" w:rsidR="0099635C" w:rsidRDefault="00000000">
      <w:pPr>
        <w:numPr>
          <w:ilvl w:val="0"/>
          <w:numId w:val="5"/>
        </w:numPr>
      </w:pPr>
      <w:r>
        <w:t>Screen Time / Healthy Technology Use</w:t>
      </w:r>
      <w:r>
        <w:br/>
      </w:r>
    </w:p>
    <w:p w14:paraId="0000004B" w14:textId="77777777" w:rsidR="0099635C" w:rsidRDefault="00000000">
      <w:pPr>
        <w:numPr>
          <w:ilvl w:val="1"/>
          <w:numId w:val="5"/>
        </w:numPr>
      </w:pPr>
      <w:r>
        <w:t>Emphasize balance and age-appropriate use</w:t>
      </w:r>
      <w:r>
        <w:br/>
      </w:r>
    </w:p>
    <w:p w14:paraId="0000004C" w14:textId="77777777" w:rsidR="0099635C" w:rsidRDefault="00000000">
      <w:pPr>
        <w:numPr>
          <w:ilvl w:val="1"/>
          <w:numId w:val="5"/>
        </w:numPr>
      </w:pPr>
      <w:r>
        <w:t>Strong interest across education and health sectors</w:t>
      </w:r>
      <w:r>
        <w:br/>
      </w:r>
    </w:p>
    <w:p w14:paraId="0000004D" w14:textId="77777777" w:rsidR="0099635C" w:rsidRDefault="00000000">
      <w:pPr>
        <w:numPr>
          <w:ilvl w:val="0"/>
          <w:numId w:val="5"/>
        </w:numPr>
      </w:pPr>
      <w:r>
        <w:t>School Discipline (Standardized)</w:t>
      </w:r>
      <w:r>
        <w:br/>
      </w:r>
    </w:p>
    <w:p w14:paraId="0000004E" w14:textId="77777777" w:rsidR="0099635C" w:rsidRDefault="00000000">
      <w:pPr>
        <w:numPr>
          <w:ilvl w:val="1"/>
          <w:numId w:val="5"/>
        </w:numPr>
      </w:pPr>
      <w:r>
        <w:t>Retain as a policy signal indicator</w:t>
      </w:r>
      <w:r>
        <w:br/>
      </w:r>
    </w:p>
    <w:p w14:paraId="0000004F" w14:textId="77777777" w:rsidR="0099635C" w:rsidRDefault="00000000">
      <w:pPr>
        <w:numPr>
          <w:ilvl w:val="1"/>
          <w:numId w:val="5"/>
        </w:numPr>
      </w:pPr>
      <w:r>
        <w:lastRenderedPageBreak/>
        <w:t>Requires statewide standardization and transparency</w:t>
      </w:r>
      <w:r>
        <w:br/>
      </w:r>
    </w:p>
    <w:p w14:paraId="00000050" w14:textId="77777777" w:rsidR="0099635C" w:rsidRDefault="00000000">
      <w:pPr>
        <w:numPr>
          <w:ilvl w:val="0"/>
          <w:numId w:val="5"/>
        </w:numPr>
      </w:pPr>
      <w:r>
        <w:t>Well-Child / Preventive Care Access</w:t>
      </w:r>
      <w:r>
        <w:br/>
      </w:r>
    </w:p>
    <w:p w14:paraId="00000051" w14:textId="77777777" w:rsidR="0099635C" w:rsidRDefault="00000000">
      <w:pPr>
        <w:numPr>
          <w:ilvl w:val="1"/>
          <w:numId w:val="5"/>
        </w:numPr>
        <w:spacing w:after="240"/>
      </w:pPr>
      <w:r>
        <w:t>Vaccinations, screenings, wellness visits</w:t>
      </w:r>
      <w:r>
        <w:br/>
      </w:r>
    </w:p>
    <w:p w14:paraId="00000052" w14:textId="77777777" w:rsidR="0099635C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0" w:name="_gc9ypgde97lj" w:colFirst="0" w:colLast="0"/>
      <w:bookmarkEnd w:id="10"/>
      <w:r>
        <w:rPr>
          <w:b/>
          <w:bCs/>
          <w:color w:val="000000"/>
          <w:sz w:val="26"/>
          <w:szCs w:val="26"/>
        </w:rPr>
        <w:t>Supplemental / Secondary Indicators</w:t>
      </w:r>
    </w:p>
    <w:p w14:paraId="00000053" w14:textId="77777777" w:rsidR="0099635C" w:rsidRDefault="00000000">
      <w:pPr>
        <w:numPr>
          <w:ilvl w:val="0"/>
          <w:numId w:val="6"/>
        </w:numPr>
        <w:spacing w:before="240"/>
      </w:pPr>
      <w:r>
        <w:t>ACEs prevalence (if feasible and ethically framed)</w:t>
      </w:r>
      <w:r>
        <w:br/>
      </w:r>
    </w:p>
    <w:p w14:paraId="00000054" w14:textId="77777777" w:rsidR="0099635C" w:rsidRDefault="00000000">
      <w:pPr>
        <w:numPr>
          <w:ilvl w:val="0"/>
          <w:numId w:val="6"/>
        </w:numPr>
      </w:pPr>
      <w:r>
        <w:t>Youth probation / juvenile justice involvement (with caution)</w:t>
      </w:r>
      <w:r>
        <w:br/>
      </w:r>
    </w:p>
    <w:p w14:paraId="00000055" w14:textId="77777777" w:rsidR="0099635C" w:rsidRDefault="00000000">
      <w:pPr>
        <w:numPr>
          <w:ilvl w:val="0"/>
          <w:numId w:val="6"/>
        </w:numPr>
      </w:pPr>
      <w:r>
        <w:t>Substance use (vaping, tobacco, risky behaviors)</w:t>
      </w:r>
      <w:r>
        <w:br/>
      </w:r>
    </w:p>
    <w:p w14:paraId="00000056" w14:textId="77777777" w:rsidR="0099635C" w:rsidRDefault="00000000">
      <w:pPr>
        <w:numPr>
          <w:ilvl w:val="0"/>
          <w:numId w:val="6"/>
        </w:numPr>
      </w:pPr>
      <w:r>
        <w:t>Chronic disease prevalence in youth</w:t>
      </w:r>
    </w:p>
    <w:p w14:paraId="00000057" w14:textId="77777777" w:rsidR="0099635C" w:rsidRDefault="00000000">
      <w:pPr>
        <w:numPr>
          <w:ilvl w:val="0"/>
          <w:numId w:val="6"/>
        </w:numPr>
        <w:spacing w:after="240"/>
      </w:pPr>
      <w:r>
        <w:t>Potential Youth with Complex Needs…reinforces work of 1556</w:t>
      </w:r>
      <w:r>
        <w:br/>
      </w:r>
    </w:p>
    <w:p w14:paraId="00000058" w14:textId="77777777" w:rsidR="0099635C" w:rsidRDefault="00000000">
      <w:r>
        <w:pict w14:anchorId="170FA929">
          <v:rect id="_x0000_i1029" style="width:0;height:1.5pt" o:hralign="center" o:hrstd="t" o:hr="t" fillcolor="#a0a0a0" stroked="f"/>
        </w:pict>
      </w:r>
    </w:p>
    <w:p w14:paraId="00000059" w14:textId="77777777" w:rsidR="0099635C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1" w:name="_x6vrx0bd7zre" w:colFirst="0" w:colLast="0"/>
      <w:bookmarkEnd w:id="11"/>
      <w:r>
        <w:rPr>
          <w:b/>
          <w:bCs/>
          <w:sz w:val="34"/>
          <w:szCs w:val="34"/>
        </w:rPr>
        <w:t>4. Family &amp; Community</w:t>
      </w:r>
    </w:p>
    <w:p w14:paraId="0000005A" w14:textId="77777777" w:rsidR="0099635C" w:rsidRDefault="00000000">
      <w:pPr>
        <w:pStyle w:val="Heading3"/>
        <w:keepNext w:val="0"/>
        <w:keepLines w:val="0"/>
        <w:spacing w:before="280"/>
        <w:rPr>
          <w:color w:val="000000"/>
          <w:sz w:val="26"/>
          <w:szCs w:val="26"/>
        </w:rPr>
      </w:pPr>
      <w:bookmarkStart w:id="12" w:name="_lau8hbgmfgb2" w:colFirst="0" w:colLast="0"/>
      <w:bookmarkEnd w:id="12"/>
      <w:r>
        <w:rPr>
          <w:color w:val="000000"/>
          <w:sz w:val="26"/>
          <w:szCs w:val="26"/>
        </w:rPr>
        <w:t>Priority Indicators (Top 3–5)</w:t>
      </w:r>
    </w:p>
    <w:p w14:paraId="0000005B" w14:textId="77777777" w:rsidR="0099635C" w:rsidRDefault="00000000">
      <w:pPr>
        <w:numPr>
          <w:ilvl w:val="0"/>
          <w:numId w:val="11"/>
        </w:numPr>
        <w:spacing w:before="240"/>
      </w:pPr>
      <w:r>
        <w:t>Chronic Absenteeism</w:t>
      </w:r>
      <w:r>
        <w:br/>
      </w:r>
    </w:p>
    <w:p w14:paraId="0000005C" w14:textId="77777777" w:rsidR="0099635C" w:rsidRDefault="00000000">
      <w:pPr>
        <w:numPr>
          <w:ilvl w:val="1"/>
          <w:numId w:val="11"/>
        </w:numPr>
      </w:pPr>
      <w:r>
        <w:t>Strong consensus this belongs here</w:t>
      </w:r>
      <w:r>
        <w:br/>
      </w:r>
    </w:p>
    <w:p w14:paraId="0000005D" w14:textId="77777777" w:rsidR="0099635C" w:rsidRDefault="00000000">
      <w:pPr>
        <w:numPr>
          <w:ilvl w:val="1"/>
          <w:numId w:val="11"/>
        </w:numPr>
      </w:pPr>
      <w:r>
        <w:t xml:space="preserve">Key </w:t>
      </w:r>
      <w:proofErr w:type="gramStart"/>
      <w:r>
        <w:t>symptom</w:t>
      </w:r>
      <w:proofErr w:type="gramEnd"/>
      <w:r>
        <w:t xml:space="preserve"> of disengagement and instability</w:t>
      </w:r>
      <w:r>
        <w:br/>
      </w:r>
    </w:p>
    <w:p w14:paraId="0000005E" w14:textId="77777777" w:rsidR="0099635C" w:rsidRDefault="00000000">
      <w:pPr>
        <w:numPr>
          <w:ilvl w:val="0"/>
          <w:numId w:val="11"/>
        </w:numPr>
      </w:pPr>
      <w:r>
        <w:t>Family Economic Stability</w:t>
      </w:r>
      <w:r>
        <w:br/>
      </w:r>
    </w:p>
    <w:p w14:paraId="0000005F" w14:textId="77777777" w:rsidR="0099635C" w:rsidRDefault="00000000">
      <w:pPr>
        <w:numPr>
          <w:ilvl w:val="1"/>
          <w:numId w:val="11"/>
        </w:numPr>
      </w:pPr>
      <w:r>
        <w:t>Reinforces two-generation framing</w:t>
      </w:r>
      <w:r>
        <w:br/>
      </w:r>
    </w:p>
    <w:p w14:paraId="00000060" w14:textId="77777777" w:rsidR="0099635C" w:rsidRDefault="00000000">
      <w:pPr>
        <w:numPr>
          <w:ilvl w:val="0"/>
          <w:numId w:val="11"/>
        </w:numPr>
      </w:pPr>
      <w:r>
        <w:t>Access to Quality Early Childhood (Family Context)</w:t>
      </w:r>
      <w:r>
        <w:br/>
      </w:r>
    </w:p>
    <w:p w14:paraId="00000061" w14:textId="77777777" w:rsidR="0099635C" w:rsidRDefault="00000000">
      <w:pPr>
        <w:numPr>
          <w:ilvl w:val="1"/>
          <w:numId w:val="11"/>
        </w:numPr>
      </w:pPr>
      <w:r>
        <w:t>Bridges early years and family systems</w:t>
      </w:r>
      <w:r>
        <w:br/>
      </w:r>
    </w:p>
    <w:p w14:paraId="00000062" w14:textId="77777777" w:rsidR="0099635C" w:rsidRDefault="00000000">
      <w:pPr>
        <w:numPr>
          <w:ilvl w:val="0"/>
          <w:numId w:val="11"/>
        </w:numPr>
      </w:pPr>
      <w:r>
        <w:t>Out-of-School Engagement / Activities</w:t>
      </w:r>
      <w:r>
        <w:br/>
      </w:r>
    </w:p>
    <w:p w14:paraId="00000063" w14:textId="77777777" w:rsidR="0099635C" w:rsidRDefault="00000000">
      <w:pPr>
        <w:numPr>
          <w:ilvl w:val="1"/>
          <w:numId w:val="11"/>
        </w:numPr>
      </w:pPr>
      <w:r>
        <w:t>Broadened beyond “extracurriculars” to include community involvement</w:t>
      </w:r>
      <w:r>
        <w:br/>
      </w:r>
    </w:p>
    <w:p w14:paraId="00000064" w14:textId="77777777" w:rsidR="0099635C" w:rsidRDefault="00000000">
      <w:pPr>
        <w:numPr>
          <w:ilvl w:val="0"/>
          <w:numId w:val="11"/>
        </w:numPr>
      </w:pPr>
      <w:r>
        <w:lastRenderedPageBreak/>
        <w:t>Students Living with Non-Parent Caregivers</w:t>
      </w:r>
      <w:r>
        <w:br/>
      </w:r>
    </w:p>
    <w:p w14:paraId="00000065" w14:textId="77777777" w:rsidR="0099635C" w:rsidRDefault="00000000">
      <w:pPr>
        <w:numPr>
          <w:ilvl w:val="1"/>
          <w:numId w:val="11"/>
        </w:numPr>
        <w:spacing w:after="240"/>
      </w:pPr>
      <w:r>
        <w:t>Repeatedly raised as a key contextual factor</w:t>
      </w:r>
    </w:p>
    <w:p w14:paraId="00000066" w14:textId="77777777" w:rsidR="0099635C" w:rsidRDefault="00000000">
      <w:pPr>
        <w:spacing w:before="240" w:after="240"/>
      </w:pPr>
      <w:r>
        <w:t xml:space="preserve">      6. School Connectedness / Caring Adult</w:t>
      </w:r>
      <w:r>
        <w:br/>
      </w:r>
    </w:p>
    <w:p w14:paraId="00000067" w14:textId="77777777" w:rsidR="0099635C" w:rsidRDefault="00000000">
      <w:pPr>
        <w:numPr>
          <w:ilvl w:val="1"/>
          <w:numId w:val="3"/>
        </w:numPr>
        <w:spacing w:before="240" w:after="240"/>
      </w:pPr>
      <w:r>
        <w:t>“Every student has at least one trusted adult”</w:t>
      </w:r>
      <w:r>
        <w:br/>
      </w:r>
    </w:p>
    <w:p w14:paraId="00000068" w14:textId="77777777" w:rsidR="0099635C" w:rsidRDefault="00000000">
      <w:pPr>
        <w:spacing w:before="240" w:after="240"/>
      </w:pPr>
      <w:r>
        <w:t>Repeatedly cited as foundational to engagement and persistence</w:t>
      </w:r>
      <w:r>
        <w:br/>
      </w:r>
    </w:p>
    <w:p w14:paraId="00000069" w14:textId="77777777" w:rsidR="0099635C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3" w:name="_v02wf8rgun7x" w:colFirst="0" w:colLast="0"/>
      <w:bookmarkEnd w:id="13"/>
      <w:r>
        <w:rPr>
          <w:b/>
          <w:bCs/>
          <w:color w:val="000000"/>
          <w:sz w:val="26"/>
          <w:szCs w:val="26"/>
        </w:rPr>
        <w:t>Supplemental / Secondary Indicators</w:t>
      </w:r>
    </w:p>
    <w:p w14:paraId="0000006A" w14:textId="77777777" w:rsidR="0099635C" w:rsidRDefault="00000000">
      <w:pPr>
        <w:numPr>
          <w:ilvl w:val="0"/>
          <w:numId w:val="13"/>
        </w:numPr>
        <w:spacing w:before="240"/>
      </w:pPr>
      <w:r>
        <w:t>Parent participation in parenting education</w:t>
      </w:r>
      <w:r>
        <w:br/>
      </w:r>
    </w:p>
    <w:p w14:paraId="0000006B" w14:textId="77777777" w:rsidR="0099635C" w:rsidRDefault="00000000">
      <w:pPr>
        <w:numPr>
          <w:ilvl w:val="0"/>
          <w:numId w:val="13"/>
        </w:numPr>
      </w:pPr>
      <w:r>
        <w:t>Kinship care</w:t>
      </w:r>
      <w:r>
        <w:br/>
      </w:r>
    </w:p>
    <w:p w14:paraId="0000006C" w14:textId="77777777" w:rsidR="0099635C" w:rsidRDefault="00000000">
      <w:pPr>
        <w:numPr>
          <w:ilvl w:val="0"/>
          <w:numId w:val="13"/>
        </w:numPr>
      </w:pPr>
      <w:r>
        <w:t>Community/civic engagement</w:t>
      </w:r>
      <w:r>
        <w:br/>
      </w:r>
    </w:p>
    <w:p w14:paraId="0000006D" w14:textId="77777777" w:rsidR="0099635C" w:rsidRDefault="00000000">
      <w:pPr>
        <w:numPr>
          <w:ilvl w:val="0"/>
          <w:numId w:val="13"/>
        </w:numPr>
        <w:spacing w:after="240"/>
      </w:pPr>
      <w:r>
        <w:t>CPS involvement (contextual)</w:t>
      </w:r>
      <w:r>
        <w:br/>
      </w:r>
    </w:p>
    <w:p w14:paraId="0000006E" w14:textId="77777777" w:rsidR="0099635C" w:rsidRDefault="00000000">
      <w:r>
        <w:pict w14:anchorId="0BFDB6E7">
          <v:rect id="_x0000_i1030" style="width:0;height:1.5pt" o:hralign="center" o:hrstd="t" o:hr="t" fillcolor="#a0a0a0" stroked="f"/>
        </w:pict>
      </w:r>
    </w:p>
    <w:p w14:paraId="0000006F" w14:textId="77777777" w:rsidR="0099635C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4" w:name="_o4bghlvwtp33" w:colFirst="0" w:colLast="0"/>
      <w:bookmarkEnd w:id="14"/>
      <w:r>
        <w:rPr>
          <w:b/>
          <w:bCs/>
          <w:sz w:val="34"/>
          <w:szCs w:val="34"/>
        </w:rPr>
        <w:t>5. The Early Years</w:t>
      </w:r>
    </w:p>
    <w:p w14:paraId="00000070" w14:textId="77777777" w:rsidR="0099635C" w:rsidRDefault="00000000">
      <w:pPr>
        <w:pStyle w:val="Heading3"/>
        <w:keepNext w:val="0"/>
        <w:keepLines w:val="0"/>
        <w:spacing w:before="280"/>
        <w:rPr>
          <w:color w:val="000000"/>
          <w:sz w:val="26"/>
          <w:szCs w:val="26"/>
        </w:rPr>
      </w:pPr>
      <w:bookmarkStart w:id="15" w:name="_4gzsr51p241e" w:colFirst="0" w:colLast="0"/>
      <w:bookmarkEnd w:id="15"/>
      <w:r>
        <w:rPr>
          <w:color w:val="000000"/>
          <w:sz w:val="26"/>
          <w:szCs w:val="26"/>
        </w:rPr>
        <w:t>Priority Indicators (Top 3–5)</w:t>
      </w:r>
    </w:p>
    <w:p w14:paraId="00000071" w14:textId="77777777" w:rsidR="0099635C" w:rsidRDefault="00000000">
      <w:pPr>
        <w:numPr>
          <w:ilvl w:val="0"/>
          <w:numId w:val="10"/>
        </w:numPr>
        <w:spacing w:before="240"/>
      </w:pPr>
      <w:r>
        <w:t>Access to Early Intervention Screening (Birth–3)</w:t>
      </w:r>
      <w:r>
        <w:br/>
      </w:r>
    </w:p>
    <w:p w14:paraId="00000072" w14:textId="77777777" w:rsidR="0099635C" w:rsidRDefault="00000000">
      <w:pPr>
        <w:numPr>
          <w:ilvl w:val="1"/>
          <w:numId w:val="10"/>
        </w:numPr>
      </w:pPr>
      <w:r>
        <w:t>Strong consensus this is a critical gap</w:t>
      </w:r>
      <w:r>
        <w:br/>
      </w:r>
    </w:p>
    <w:p w14:paraId="00000073" w14:textId="77777777" w:rsidR="0099635C" w:rsidRDefault="00000000">
      <w:pPr>
        <w:numPr>
          <w:ilvl w:val="1"/>
          <w:numId w:val="10"/>
        </w:numPr>
      </w:pPr>
      <w:r>
        <w:t>Highly actionable and prevention-oriented</w:t>
      </w:r>
      <w:r>
        <w:br/>
      </w:r>
    </w:p>
    <w:p w14:paraId="00000074" w14:textId="77777777" w:rsidR="0099635C" w:rsidRDefault="00000000">
      <w:pPr>
        <w:numPr>
          <w:ilvl w:val="0"/>
          <w:numId w:val="10"/>
        </w:numPr>
      </w:pPr>
      <w:r>
        <w:t>Quality Early Childhood Education (Bright &amp; Early)</w:t>
      </w:r>
      <w:r>
        <w:br/>
      </w:r>
    </w:p>
    <w:p w14:paraId="00000075" w14:textId="77777777" w:rsidR="0099635C" w:rsidRDefault="00000000">
      <w:pPr>
        <w:numPr>
          <w:ilvl w:val="1"/>
          <w:numId w:val="10"/>
        </w:numPr>
      </w:pPr>
      <w:r>
        <w:t>Retain with transparency about validity and limitations</w:t>
      </w:r>
      <w:r>
        <w:br/>
      </w:r>
    </w:p>
    <w:p w14:paraId="00000076" w14:textId="77777777" w:rsidR="0099635C" w:rsidRDefault="00000000">
      <w:pPr>
        <w:numPr>
          <w:ilvl w:val="0"/>
          <w:numId w:val="10"/>
        </w:numPr>
      </w:pPr>
      <w:r>
        <w:t>Child Care Availability &amp; Capacity</w:t>
      </w:r>
      <w:r>
        <w:br/>
      </w:r>
    </w:p>
    <w:p w14:paraId="00000077" w14:textId="77777777" w:rsidR="0099635C" w:rsidRDefault="00000000">
      <w:pPr>
        <w:numPr>
          <w:ilvl w:val="1"/>
          <w:numId w:val="10"/>
        </w:numPr>
      </w:pPr>
      <w:r>
        <w:t>Provider access, not just count</w:t>
      </w:r>
      <w:r>
        <w:br/>
      </w:r>
    </w:p>
    <w:p w14:paraId="00000078" w14:textId="77777777" w:rsidR="0099635C" w:rsidRDefault="00000000">
      <w:pPr>
        <w:numPr>
          <w:ilvl w:val="0"/>
          <w:numId w:val="10"/>
        </w:numPr>
      </w:pPr>
      <w:r>
        <w:lastRenderedPageBreak/>
        <w:t>WIC Participation</w:t>
      </w:r>
      <w:r>
        <w:br/>
      </w:r>
    </w:p>
    <w:p w14:paraId="00000079" w14:textId="77777777" w:rsidR="0099635C" w:rsidRDefault="00000000">
      <w:pPr>
        <w:numPr>
          <w:ilvl w:val="1"/>
          <w:numId w:val="10"/>
        </w:numPr>
      </w:pPr>
      <w:r>
        <w:t>Proxy for maternal and infant support</w:t>
      </w:r>
      <w:r>
        <w:br/>
      </w:r>
    </w:p>
    <w:p w14:paraId="0000007A" w14:textId="77777777" w:rsidR="0099635C" w:rsidRDefault="00000000">
      <w:pPr>
        <w:numPr>
          <w:ilvl w:val="0"/>
          <w:numId w:val="10"/>
        </w:numPr>
      </w:pPr>
      <w:r>
        <w:t>Prenatal Care / Maternal Health Access</w:t>
      </w:r>
      <w:r>
        <w:br/>
      </w:r>
    </w:p>
    <w:p w14:paraId="0000007B" w14:textId="77777777" w:rsidR="0099635C" w:rsidRDefault="00000000">
      <w:pPr>
        <w:numPr>
          <w:ilvl w:val="1"/>
          <w:numId w:val="10"/>
        </w:numPr>
        <w:spacing w:after="240"/>
      </w:pPr>
      <w:r>
        <w:t>Supports “4th trimester” and two-generation framing</w:t>
      </w:r>
      <w:r>
        <w:br/>
      </w:r>
    </w:p>
    <w:p w14:paraId="0000007C" w14:textId="77777777" w:rsidR="0099635C" w:rsidRDefault="00000000">
      <w:pPr>
        <w:pStyle w:val="Heading3"/>
        <w:keepNext w:val="0"/>
        <w:keepLines w:val="0"/>
        <w:spacing w:before="280"/>
        <w:rPr>
          <w:color w:val="000000"/>
          <w:sz w:val="26"/>
          <w:szCs w:val="26"/>
        </w:rPr>
      </w:pPr>
      <w:bookmarkStart w:id="16" w:name="_5xhdnj4b9i5w" w:colFirst="0" w:colLast="0"/>
      <w:bookmarkEnd w:id="16"/>
      <w:r>
        <w:rPr>
          <w:color w:val="000000"/>
          <w:sz w:val="26"/>
          <w:szCs w:val="26"/>
        </w:rPr>
        <w:t>Supplemental / Secondary Indicators</w:t>
      </w:r>
    </w:p>
    <w:p w14:paraId="0000007D" w14:textId="77777777" w:rsidR="0099635C" w:rsidRDefault="00000000">
      <w:pPr>
        <w:numPr>
          <w:ilvl w:val="0"/>
          <w:numId w:val="8"/>
        </w:numPr>
        <w:spacing w:before="240"/>
      </w:pPr>
      <w:r>
        <w:t>Infant mortality (with disaggregation or narrative context)</w:t>
      </w:r>
      <w:r>
        <w:br/>
      </w:r>
    </w:p>
    <w:p w14:paraId="0000007E" w14:textId="77777777" w:rsidR="0099635C" w:rsidRDefault="00000000">
      <w:pPr>
        <w:numPr>
          <w:ilvl w:val="0"/>
          <w:numId w:val="8"/>
        </w:numPr>
      </w:pPr>
      <w:r>
        <w:t>Maternal mental health</w:t>
      </w:r>
      <w:r>
        <w:br/>
      </w:r>
    </w:p>
    <w:p w14:paraId="0000007F" w14:textId="77777777" w:rsidR="0099635C" w:rsidRDefault="00000000">
      <w:pPr>
        <w:numPr>
          <w:ilvl w:val="0"/>
          <w:numId w:val="8"/>
        </w:numPr>
        <w:spacing w:after="240"/>
      </w:pPr>
      <w:r>
        <w:t>Early childhood expulsion (especially for children with disabilities)</w:t>
      </w:r>
    </w:p>
    <w:p w14:paraId="00000080" w14:textId="77777777" w:rsidR="0099635C" w:rsidRDefault="0099635C"/>
    <w:sectPr w:rsidR="0099635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5155EAC-E2FD-4CEA-A665-A901CE40EF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637E37E-79E5-4B61-B053-B88A065CAD4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45F36"/>
    <w:multiLevelType w:val="multilevel"/>
    <w:tmpl w:val="E06E55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CA3A17"/>
    <w:multiLevelType w:val="multilevel"/>
    <w:tmpl w:val="63EE3E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A062D02"/>
    <w:multiLevelType w:val="multilevel"/>
    <w:tmpl w:val="AC6AFC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4257FA0"/>
    <w:multiLevelType w:val="multilevel"/>
    <w:tmpl w:val="05AE53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5841FD1"/>
    <w:multiLevelType w:val="multilevel"/>
    <w:tmpl w:val="976A68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CB83F31"/>
    <w:multiLevelType w:val="multilevel"/>
    <w:tmpl w:val="0F44EC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E936FA0"/>
    <w:multiLevelType w:val="multilevel"/>
    <w:tmpl w:val="4C12BC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F0E6D60"/>
    <w:multiLevelType w:val="multilevel"/>
    <w:tmpl w:val="BA6C3E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86F0270"/>
    <w:multiLevelType w:val="multilevel"/>
    <w:tmpl w:val="3E0E10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EDF193E"/>
    <w:multiLevelType w:val="multilevel"/>
    <w:tmpl w:val="0EBA35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BA804EE"/>
    <w:multiLevelType w:val="multilevel"/>
    <w:tmpl w:val="A4FE1C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6726688"/>
    <w:multiLevelType w:val="multilevel"/>
    <w:tmpl w:val="845079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E0C09A1"/>
    <w:multiLevelType w:val="multilevel"/>
    <w:tmpl w:val="09601A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69A3C87"/>
    <w:multiLevelType w:val="multilevel"/>
    <w:tmpl w:val="86E461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4551613">
    <w:abstractNumId w:val="7"/>
  </w:num>
  <w:num w:numId="2" w16cid:durableId="141192128">
    <w:abstractNumId w:val="6"/>
  </w:num>
  <w:num w:numId="3" w16cid:durableId="1341354749">
    <w:abstractNumId w:val="0"/>
  </w:num>
  <w:num w:numId="4" w16cid:durableId="790905294">
    <w:abstractNumId w:val="10"/>
  </w:num>
  <w:num w:numId="5" w16cid:durableId="1968505224">
    <w:abstractNumId w:val="8"/>
  </w:num>
  <w:num w:numId="6" w16cid:durableId="1693336114">
    <w:abstractNumId w:val="1"/>
  </w:num>
  <w:num w:numId="7" w16cid:durableId="855927353">
    <w:abstractNumId w:val="12"/>
  </w:num>
  <w:num w:numId="8" w16cid:durableId="174151690">
    <w:abstractNumId w:val="9"/>
  </w:num>
  <w:num w:numId="9" w16cid:durableId="495920595">
    <w:abstractNumId w:val="13"/>
  </w:num>
  <w:num w:numId="10" w16cid:durableId="1278411522">
    <w:abstractNumId w:val="3"/>
  </w:num>
  <w:num w:numId="11" w16cid:durableId="45448303">
    <w:abstractNumId w:val="2"/>
  </w:num>
  <w:num w:numId="12" w16cid:durableId="1487866587">
    <w:abstractNumId w:val="5"/>
  </w:num>
  <w:num w:numId="13" w16cid:durableId="1797522282">
    <w:abstractNumId w:val="4"/>
  </w:num>
  <w:num w:numId="14" w16cid:durableId="43825438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35C"/>
    <w:rsid w:val="007F135A"/>
    <w:rsid w:val="0086466D"/>
    <w:rsid w:val="0099635C"/>
    <w:rsid w:val="00F20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2E6EE"/>
  <w15:docId w15:val="{C1E5FE36-CC6E-4C06-A583-425FC23C4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788</Words>
  <Characters>4828</Characters>
  <Application>Microsoft Office Word</Application>
  <DocSecurity>0</DocSecurity>
  <Lines>230</Lines>
  <Paragraphs>121</Paragraphs>
  <ScaleCrop>false</ScaleCrop>
  <Company/>
  <LinksUpToDate>false</LinksUpToDate>
  <CharactersWithSpaces>5589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Christy, Mary A.</dc:creator>
  <cp:lastModifiedBy>Christy, Mary A.</cp:lastModifiedBy>
  <cp:revision>3</cp:revision>
  <dcterms:created xsi:type="dcterms:W3CDTF">2026-02-09T16:04:00Z</dcterms:created>
  <dcterms:modified xsi:type="dcterms:W3CDTF">2026-02-09T16:05:00Z</dcterms:modified>
</cp:coreProperties>
</file>